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611C" w14:textId="7C604358" w:rsidR="004039BC" w:rsidRPr="008D3AD2" w:rsidRDefault="008D3AD2" w:rsidP="008D3AD2">
      <w:pPr>
        <w:jc w:val="center"/>
        <w:rPr>
          <w:b/>
          <w:bCs/>
          <w:color w:val="006532"/>
          <w:sz w:val="56"/>
          <w:szCs w:val="56"/>
        </w:rPr>
      </w:pPr>
      <w:r w:rsidRPr="008D3AD2">
        <w:rPr>
          <w:b/>
          <w:bCs/>
          <w:color w:val="006532"/>
          <w:sz w:val="56"/>
          <w:szCs w:val="56"/>
        </w:rPr>
        <w:t>La celebrazione dell’eucaristia</w:t>
      </w:r>
    </w:p>
    <w:p w14:paraId="14047E1C" w14:textId="0A9D2AB6" w:rsidR="008D3AD2" w:rsidRPr="008D3AD2" w:rsidRDefault="008D3AD2" w:rsidP="008D3AD2">
      <w:pPr>
        <w:jc w:val="center"/>
        <w:rPr>
          <w:color w:val="006532"/>
          <w:sz w:val="52"/>
          <w:szCs w:val="52"/>
        </w:rPr>
      </w:pPr>
      <w:r w:rsidRPr="008D3AD2">
        <w:rPr>
          <w:color w:val="006532"/>
          <w:sz w:val="52"/>
          <w:szCs w:val="52"/>
        </w:rPr>
        <w:t>per una mistagogia del rito</w:t>
      </w:r>
    </w:p>
    <w:p w14:paraId="4A7C3274" w14:textId="0512ECD6" w:rsidR="008D3AD2" w:rsidRDefault="008D3AD2" w:rsidP="008D3AD2">
      <w:pPr>
        <w:rPr>
          <w:b/>
          <w:bCs/>
          <w:color w:val="006532"/>
          <w:sz w:val="40"/>
          <w:szCs w:val="40"/>
        </w:rPr>
      </w:pPr>
      <w:r w:rsidRPr="008D3AD2">
        <w:rPr>
          <w:b/>
          <w:bCs/>
          <w:color w:val="006532"/>
          <w:sz w:val="40"/>
          <w:szCs w:val="40"/>
        </w:rPr>
        <w:t>La celebrazione dell’eucaristia: un rito con molti significati</w:t>
      </w:r>
    </w:p>
    <w:p w14:paraId="31F0996F" w14:textId="6A2F8903" w:rsidR="008D3AD2" w:rsidRPr="0042141E" w:rsidRDefault="008D3AD2" w:rsidP="008D3AD2">
      <w:pPr>
        <w:pStyle w:val="Default"/>
        <w:spacing w:after="271"/>
        <w:rPr>
          <w:sz w:val="36"/>
          <w:szCs w:val="36"/>
        </w:rPr>
      </w:pPr>
      <w:r>
        <w:rPr>
          <w:rFonts w:ascii="Wingdings" w:hAnsi="Wingdings" w:cs="Wingdings"/>
          <w:color w:val="CC9900"/>
          <w:sz w:val="39"/>
          <w:szCs w:val="39"/>
        </w:rPr>
        <w:t></w:t>
      </w:r>
      <w:r w:rsidRPr="0042141E">
        <w:rPr>
          <w:sz w:val="36"/>
          <w:szCs w:val="36"/>
        </w:rPr>
        <w:t>Un rito memoriale del sacrificio di Cristo sulla Croce</w:t>
      </w:r>
    </w:p>
    <w:p w14:paraId="763AF79C" w14:textId="3CA81A06" w:rsidR="008D3AD2" w:rsidRPr="0042141E" w:rsidRDefault="008D3AD2" w:rsidP="008D3AD2">
      <w:pPr>
        <w:pStyle w:val="Default"/>
        <w:spacing w:after="271"/>
        <w:jc w:val="both"/>
        <w:rPr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sz w:val="36"/>
          <w:szCs w:val="36"/>
        </w:rPr>
        <w:t xml:space="preserve">L’incontro dei discepoli con il </w:t>
      </w:r>
      <w:r w:rsidRPr="0042141E">
        <w:rPr>
          <w:color w:val="FF0000"/>
          <w:sz w:val="36"/>
          <w:szCs w:val="36"/>
        </w:rPr>
        <w:t xml:space="preserve">Risorto </w:t>
      </w:r>
      <w:r w:rsidRPr="0042141E">
        <w:rPr>
          <w:sz w:val="36"/>
          <w:szCs w:val="36"/>
        </w:rPr>
        <w:t>attraverso l’ascolto della Parola e la frazione del Pane</w:t>
      </w:r>
    </w:p>
    <w:p w14:paraId="4F3A1607" w14:textId="77777777" w:rsidR="008D3AD2" w:rsidRPr="0042141E" w:rsidRDefault="008D3AD2" w:rsidP="008D3AD2">
      <w:pPr>
        <w:pStyle w:val="Default"/>
        <w:spacing w:after="271"/>
        <w:rPr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sz w:val="36"/>
          <w:szCs w:val="36"/>
        </w:rPr>
        <w:t>L’assemblea dei battezzati che manifesta la Chiesa</w:t>
      </w:r>
    </w:p>
    <w:p w14:paraId="026BFC37" w14:textId="26D35B26" w:rsidR="008D3AD2" w:rsidRPr="0042141E" w:rsidRDefault="008D3AD2" w:rsidP="008D3AD2">
      <w:pPr>
        <w:pStyle w:val="Default"/>
        <w:rPr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sz w:val="36"/>
          <w:szCs w:val="36"/>
        </w:rPr>
        <w:t>Il culmine e la fonte della vita del cristiano e della Chiesa</w:t>
      </w:r>
    </w:p>
    <w:p w14:paraId="155C8FDB" w14:textId="77777777" w:rsidR="008D3AD2" w:rsidRDefault="008D3AD2" w:rsidP="008D3AD2">
      <w:pPr>
        <w:pStyle w:val="Default"/>
        <w:rPr>
          <w:sz w:val="60"/>
          <w:szCs w:val="60"/>
        </w:rPr>
      </w:pPr>
    </w:p>
    <w:p w14:paraId="42147AC6" w14:textId="1B07903D" w:rsidR="008D3AD2" w:rsidRPr="008D3AD2" w:rsidRDefault="008D3AD2" w:rsidP="008D3AD2">
      <w:pPr>
        <w:rPr>
          <w:b/>
          <w:bCs/>
          <w:color w:val="006532"/>
          <w:sz w:val="40"/>
          <w:szCs w:val="40"/>
        </w:rPr>
      </w:pPr>
      <w:r w:rsidRPr="008D3AD2">
        <w:rPr>
          <w:b/>
          <w:bCs/>
          <w:color w:val="006532"/>
          <w:sz w:val="40"/>
          <w:szCs w:val="40"/>
        </w:rPr>
        <w:t>Un rito particolare … tra tanti riti</w:t>
      </w:r>
    </w:p>
    <w:p w14:paraId="0D310B41" w14:textId="77777777" w:rsidR="008D3AD2" w:rsidRPr="0042141E" w:rsidRDefault="008D3AD2" w:rsidP="008D3AD2">
      <w:pPr>
        <w:autoSpaceDE w:val="0"/>
        <w:autoSpaceDN w:val="0"/>
        <w:adjustRightInd w:val="0"/>
        <w:spacing w:after="199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8D3AD2">
        <w:rPr>
          <w:rFonts w:ascii="Wingdings" w:hAnsi="Wingdings" w:cs="Wingdings"/>
          <w:color w:val="CC9900"/>
          <w:sz w:val="39"/>
          <w:szCs w:val="39"/>
        </w:rPr>
        <w:t></w:t>
      </w:r>
      <w:r w:rsidRPr="0042141E">
        <w:rPr>
          <w:rFonts w:ascii="Arial" w:hAnsi="Arial" w:cs="Arial"/>
          <w:color w:val="000000"/>
          <w:sz w:val="36"/>
          <w:szCs w:val="36"/>
        </w:rPr>
        <w:t>La vita dell’uomo è una vita caratterizzata da riti e da gesti simbolici</w:t>
      </w:r>
    </w:p>
    <w:p w14:paraId="2D8975EF" w14:textId="77777777" w:rsidR="008D3AD2" w:rsidRPr="0042141E" w:rsidRDefault="008D3AD2" w:rsidP="008D3AD2">
      <w:pPr>
        <w:autoSpaceDE w:val="0"/>
        <w:autoSpaceDN w:val="0"/>
        <w:adjustRightInd w:val="0"/>
        <w:spacing w:after="199" w:line="240" w:lineRule="auto"/>
        <w:rPr>
          <w:rFonts w:ascii="Arial" w:hAnsi="Arial" w:cs="Arial"/>
          <w:color w:val="000000"/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rFonts w:ascii="Arial" w:hAnsi="Arial" w:cs="Arial"/>
          <w:color w:val="000000"/>
          <w:sz w:val="36"/>
          <w:szCs w:val="36"/>
        </w:rPr>
        <w:t>La religione si esprime attraverso dei riti</w:t>
      </w:r>
    </w:p>
    <w:p w14:paraId="0D7E29F1" w14:textId="11A3D3DE" w:rsidR="008D3AD2" w:rsidRPr="0042141E" w:rsidRDefault="008D3AD2" w:rsidP="008D3AD2">
      <w:pPr>
        <w:autoSpaceDE w:val="0"/>
        <w:autoSpaceDN w:val="0"/>
        <w:adjustRightInd w:val="0"/>
        <w:spacing w:after="199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rFonts w:ascii="Arial" w:hAnsi="Arial" w:cs="Arial"/>
          <w:color w:val="000000"/>
          <w:sz w:val="36"/>
          <w:szCs w:val="36"/>
        </w:rPr>
        <w:t xml:space="preserve">I riti cristiani, in particolare i sacramenti, sono </w:t>
      </w:r>
      <w:r w:rsidRPr="0042141E">
        <w:rPr>
          <w:rFonts w:ascii="Arial" w:hAnsi="Arial" w:cs="Arial"/>
          <w:b/>
          <w:bCs/>
          <w:color w:val="FF0000"/>
          <w:sz w:val="36"/>
          <w:szCs w:val="36"/>
        </w:rPr>
        <w:t xml:space="preserve">opera della salvezza </w:t>
      </w:r>
      <w:r w:rsidRPr="0042141E">
        <w:rPr>
          <w:rFonts w:ascii="Arial" w:hAnsi="Arial" w:cs="Arial"/>
          <w:color w:val="000000"/>
          <w:sz w:val="36"/>
          <w:szCs w:val="36"/>
        </w:rPr>
        <w:t>in atto</w:t>
      </w:r>
    </w:p>
    <w:p w14:paraId="3C1BCD68" w14:textId="09B40101" w:rsidR="008D3AD2" w:rsidRDefault="008D3AD2" w:rsidP="008D3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8D3AD2">
        <w:rPr>
          <w:rFonts w:ascii="Wingdings" w:hAnsi="Wingdings" w:cs="Wingdings"/>
          <w:color w:val="CC9900"/>
          <w:sz w:val="39"/>
          <w:szCs w:val="39"/>
        </w:rPr>
        <w:t></w:t>
      </w:r>
      <w:r w:rsidRPr="008D3AD2">
        <w:rPr>
          <w:rFonts w:ascii="Arial" w:hAnsi="Arial" w:cs="Arial"/>
          <w:color w:val="000000"/>
          <w:sz w:val="44"/>
          <w:szCs w:val="44"/>
        </w:rPr>
        <w:t xml:space="preserve">SC 6: </w:t>
      </w:r>
      <w:r w:rsidRPr="008D3AD2">
        <w:rPr>
          <w:rFonts w:ascii="Arial" w:hAnsi="Arial" w:cs="Arial"/>
          <w:color w:val="000000"/>
          <w:sz w:val="36"/>
          <w:szCs w:val="36"/>
        </w:rPr>
        <w:t xml:space="preserve">Pertanto, come il Cristo fu inviato dal Padre, così anch'egli ha inviato gli apostoli, ripieni di Spirito Santo. Essi, predicando il Vangelo a tutti gli uomini, </w:t>
      </w:r>
      <w:r w:rsidRPr="008D3AD2">
        <w:rPr>
          <w:rFonts w:ascii="Arial" w:hAnsi="Arial" w:cs="Arial"/>
          <w:b/>
          <w:bCs/>
          <w:color w:val="FF0000"/>
          <w:sz w:val="36"/>
          <w:szCs w:val="36"/>
        </w:rPr>
        <w:t xml:space="preserve">non dovevano limitarsi ad annunciare </w:t>
      </w:r>
      <w:r w:rsidRPr="008D3AD2">
        <w:rPr>
          <w:rFonts w:ascii="Arial" w:hAnsi="Arial" w:cs="Arial"/>
          <w:color w:val="000000"/>
          <w:sz w:val="36"/>
          <w:szCs w:val="36"/>
        </w:rPr>
        <w:t xml:space="preserve">che il Figlio di Dio con la sua morte e risurrezione ci ha liberati dal potere di Satana e dalla morte e ci ha trasferiti nel regno del Padre, </w:t>
      </w:r>
      <w:r w:rsidRPr="008D3AD2">
        <w:rPr>
          <w:rFonts w:ascii="Arial" w:hAnsi="Arial" w:cs="Arial"/>
          <w:b/>
          <w:bCs/>
          <w:color w:val="FF0000"/>
          <w:sz w:val="36"/>
          <w:szCs w:val="36"/>
        </w:rPr>
        <w:t>bensì dovevano anche attuare l'opera di salvezza che annunziavano, mediante il sacrificio e i sacramenti attorno ai quali gravita tutta la vita liturgica</w:t>
      </w:r>
      <w:r w:rsidRPr="008D3AD2">
        <w:rPr>
          <w:rFonts w:ascii="Arial" w:hAnsi="Arial" w:cs="Arial"/>
          <w:color w:val="000000"/>
          <w:sz w:val="36"/>
          <w:szCs w:val="36"/>
        </w:rPr>
        <w:t>.</w:t>
      </w:r>
    </w:p>
    <w:p w14:paraId="46FAEEAF" w14:textId="77777777" w:rsidR="0042141E" w:rsidRDefault="0042141E" w:rsidP="008D3AD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6532"/>
          <w:sz w:val="44"/>
          <w:szCs w:val="44"/>
        </w:rPr>
      </w:pPr>
    </w:p>
    <w:p w14:paraId="5997368A" w14:textId="5FD9F0E2" w:rsidR="008D3AD2" w:rsidRDefault="008D3AD2" w:rsidP="008D3AD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6532"/>
          <w:sz w:val="44"/>
          <w:szCs w:val="44"/>
        </w:rPr>
      </w:pPr>
      <w:r w:rsidRPr="008D3AD2">
        <w:rPr>
          <w:b/>
          <w:bCs/>
          <w:color w:val="006532"/>
          <w:sz w:val="44"/>
          <w:szCs w:val="44"/>
        </w:rPr>
        <w:lastRenderedPageBreak/>
        <w:t>Mistagogia: per comprendere e partecipare alla celebrazione</w:t>
      </w:r>
    </w:p>
    <w:p w14:paraId="79CE9C1C" w14:textId="77777777" w:rsidR="008D3AD2" w:rsidRPr="0042141E" w:rsidRDefault="008D3AD2" w:rsidP="008D3AD2">
      <w:pPr>
        <w:autoSpaceDE w:val="0"/>
        <w:autoSpaceDN w:val="0"/>
        <w:adjustRightInd w:val="0"/>
        <w:spacing w:after="199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rFonts w:ascii="Arial" w:hAnsi="Arial" w:cs="Arial"/>
          <w:color w:val="000000"/>
          <w:sz w:val="36"/>
          <w:szCs w:val="36"/>
        </w:rPr>
        <w:t>La mistagogia, nel IV secolo era la catechesi che il vescovo faceva ai nuovi battezzati nella settimana dopo la Pasqua per aiutarli a comprendere i riti che avevano celebrato nella Veglia Pasquale</w:t>
      </w:r>
    </w:p>
    <w:p w14:paraId="0647CC8C" w14:textId="77777777" w:rsidR="008D3AD2" w:rsidRPr="0042141E" w:rsidRDefault="008D3AD2" w:rsidP="008D3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rFonts w:ascii="Arial" w:hAnsi="Arial" w:cs="Arial"/>
          <w:color w:val="000000"/>
          <w:sz w:val="36"/>
          <w:szCs w:val="36"/>
        </w:rPr>
        <w:t>Oggi abbiamo bisogno della mistagogia per comprendere e partecipare consapevolmente, attivamente e fruttuosamente ai riti che non comprendiamo nonostante il nostro battesimo antico.</w:t>
      </w:r>
    </w:p>
    <w:p w14:paraId="72FD04FC" w14:textId="77777777" w:rsidR="008D3AD2" w:rsidRPr="008D3AD2" w:rsidRDefault="008D3AD2" w:rsidP="008D3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C35392C" w14:textId="08EB2891" w:rsidR="008D3AD2" w:rsidRDefault="0042141E" w:rsidP="0042141E">
      <w:pPr>
        <w:jc w:val="center"/>
        <w:rPr>
          <w:b/>
          <w:bCs/>
          <w:color w:val="006532"/>
          <w:sz w:val="40"/>
          <w:szCs w:val="40"/>
        </w:rPr>
      </w:pPr>
      <w:r w:rsidRPr="0042141E">
        <w:rPr>
          <w:b/>
          <w:bCs/>
          <w:color w:val="006532"/>
          <w:sz w:val="40"/>
          <w:szCs w:val="40"/>
        </w:rPr>
        <w:t>La celebrazione dell’eucaristia</w:t>
      </w:r>
    </w:p>
    <w:p w14:paraId="407FEA51" w14:textId="1317E50F" w:rsidR="0042141E" w:rsidRDefault="0042141E" w:rsidP="0042141E">
      <w:pPr>
        <w:jc w:val="center"/>
        <w:rPr>
          <w:b/>
          <w:bCs/>
          <w:color w:val="006532"/>
          <w:sz w:val="40"/>
          <w:szCs w:val="40"/>
        </w:rPr>
      </w:pPr>
      <w:r w:rsidRPr="0042141E">
        <w:rPr>
          <w:b/>
          <w:bCs/>
          <w:noProof/>
          <w:color w:val="006532"/>
          <w:sz w:val="40"/>
          <w:szCs w:val="40"/>
        </w:rPr>
        <w:drawing>
          <wp:inline distT="0" distB="0" distL="0" distR="0" wp14:anchorId="2D693E6F" wp14:editId="6D7E60DA">
            <wp:extent cx="2733675" cy="1746341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31" cy="177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B32EA" w14:textId="1FA13949" w:rsidR="0042141E" w:rsidRDefault="0042141E" w:rsidP="0042141E">
      <w:pPr>
        <w:rPr>
          <w:b/>
          <w:bCs/>
          <w:color w:val="006532"/>
          <w:sz w:val="40"/>
          <w:szCs w:val="40"/>
        </w:rPr>
      </w:pPr>
      <w:r w:rsidRPr="0042141E">
        <w:rPr>
          <w:b/>
          <w:bCs/>
          <w:color w:val="006532"/>
          <w:sz w:val="40"/>
          <w:szCs w:val="40"/>
        </w:rPr>
        <w:t>Uno schema per la celebrazione dell’eucaristia</w:t>
      </w:r>
    </w:p>
    <w:p w14:paraId="1F6E6E67" w14:textId="77777777" w:rsidR="0042141E" w:rsidRPr="0042141E" w:rsidRDefault="0042141E" w:rsidP="0042141E">
      <w:pPr>
        <w:autoSpaceDE w:val="0"/>
        <w:autoSpaceDN w:val="0"/>
        <w:adjustRightInd w:val="0"/>
        <w:spacing w:after="272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rFonts w:ascii="Arial" w:hAnsi="Arial" w:cs="Arial"/>
          <w:color w:val="FF0000"/>
          <w:sz w:val="36"/>
          <w:szCs w:val="36"/>
        </w:rPr>
        <w:t>Riti d’ingresso</w:t>
      </w:r>
      <w:r w:rsidRPr="0042141E">
        <w:rPr>
          <w:rFonts w:ascii="Arial" w:hAnsi="Arial" w:cs="Arial"/>
          <w:color w:val="000000"/>
          <w:sz w:val="36"/>
          <w:szCs w:val="36"/>
        </w:rPr>
        <w:t xml:space="preserve">: </w:t>
      </w:r>
      <w:r w:rsidRPr="0042141E">
        <w:rPr>
          <w:rFonts w:ascii="Arial" w:hAnsi="Arial" w:cs="Arial"/>
          <w:i/>
          <w:iCs/>
          <w:color w:val="000000"/>
          <w:sz w:val="36"/>
          <w:szCs w:val="36"/>
        </w:rPr>
        <w:t>dall’io al noi dell’assemblea liturgica, la soglia della celebrazione</w:t>
      </w:r>
    </w:p>
    <w:p w14:paraId="6A8E22B5" w14:textId="77777777" w:rsidR="0042141E" w:rsidRPr="0042141E" w:rsidRDefault="0042141E" w:rsidP="0042141E">
      <w:pPr>
        <w:autoSpaceDE w:val="0"/>
        <w:autoSpaceDN w:val="0"/>
        <w:adjustRightInd w:val="0"/>
        <w:spacing w:after="272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rFonts w:ascii="Arial" w:hAnsi="Arial" w:cs="Arial"/>
          <w:color w:val="FF0000"/>
          <w:sz w:val="36"/>
          <w:szCs w:val="36"/>
        </w:rPr>
        <w:t>Liturgia della Parola</w:t>
      </w:r>
      <w:r w:rsidRPr="0042141E">
        <w:rPr>
          <w:rFonts w:ascii="Arial" w:hAnsi="Arial" w:cs="Arial"/>
          <w:color w:val="000000"/>
          <w:sz w:val="36"/>
          <w:szCs w:val="36"/>
        </w:rPr>
        <w:t xml:space="preserve">: </w:t>
      </w:r>
      <w:r w:rsidRPr="0042141E">
        <w:rPr>
          <w:rFonts w:ascii="Arial" w:hAnsi="Arial" w:cs="Arial"/>
          <w:i/>
          <w:iCs/>
          <w:color w:val="000000"/>
          <w:sz w:val="36"/>
          <w:szCs w:val="36"/>
        </w:rPr>
        <w:t>Dio parla, l’assemblea ascolta e accoglie la Parola di Dio, fondamento della fede e dell’alleanza</w:t>
      </w:r>
      <w:r w:rsidRPr="0042141E">
        <w:rPr>
          <w:rFonts w:ascii="Arial" w:hAnsi="Arial" w:cs="Arial"/>
          <w:color w:val="000000"/>
          <w:sz w:val="36"/>
          <w:szCs w:val="36"/>
        </w:rPr>
        <w:t>.</w:t>
      </w:r>
    </w:p>
    <w:p w14:paraId="69D669EB" w14:textId="77777777" w:rsidR="0042141E" w:rsidRPr="0042141E" w:rsidRDefault="0042141E" w:rsidP="0042141E">
      <w:pPr>
        <w:autoSpaceDE w:val="0"/>
        <w:autoSpaceDN w:val="0"/>
        <w:adjustRightInd w:val="0"/>
        <w:spacing w:after="272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rFonts w:ascii="Arial" w:hAnsi="Arial" w:cs="Arial"/>
          <w:color w:val="FF0000"/>
          <w:sz w:val="36"/>
          <w:szCs w:val="36"/>
        </w:rPr>
        <w:t>Liturgia Eucaristica</w:t>
      </w:r>
      <w:r w:rsidRPr="0042141E">
        <w:rPr>
          <w:rFonts w:ascii="Arial" w:hAnsi="Arial" w:cs="Arial"/>
          <w:color w:val="000000"/>
          <w:sz w:val="36"/>
          <w:szCs w:val="36"/>
        </w:rPr>
        <w:t xml:space="preserve">: </w:t>
      </w:r>
      <w:r w:rsidRPr="0042141E">
        <w:rPr>
          <w:rFonts w:ascii="Arial" w:hAnsi="Arial" w:cs="Arial"/>
          <w:i/>
          <w:iCs/>
          <w:color w:val="000000"/>
          <w:sz w:val="36"/>
          <w:szCs w:val="36"/>
        </w:rPr>
        <w:t>si rinnova l’alleanza nel memoriale della Pasqua</w:t>
      </w:r>
      <w:r w:rsidRPr="0042141E">
        <w:rPr>
          <w:rFonts w:ascii="Arial" w:hAnsi="Arial" w:cs="Arial"/>
          <w:color w:val="000000"/>
          <w:sz w:val="36"/>
          <w:szCs w:val="36"/>
        </w:rPr>
        <w:t>.</w:t>
      </w:r>
    </w:p>
    <w:p w14:paraId="61AA595A" w14:textId="77777777" w:rsidR="0042141E" w:rsidRPr="0042141E" w:rsidRDefault="0042141E" w:rsidP="00421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42141E">
        <w:rPr>
          <w:rFonts w:ascii="Wingdings" w:hAnsi="Wingdings" w:cs="Wingdings"/>
          <w:color w:val="CC9900"/>
          <w:sz w:val="36"/>
          <w:szCs w:val="36"/>
        </w:rPr>
        <w:t></w:t>
      </w:r>
      <w:r w:rsidRPr="0042141E">
        <w:rPr>
          <w:rFonts w:ascii="Arial" w:hAnsi="Arial" w:cs="Arial"/>
          <w:color w:val="FF0000"/>
          <w:sz w:val="36"/>
          <w:szCs w:val="36"/>
        </w:rPr>
        <w:t>Riti di congedo</w:t>
      </w:r>
      <w:r w:rsidRPr="0042141E">
        <w:rPr>
          <w:rFonts w:ascii="Arial" w:hAnsi="Arial" w:cs="Arial"/>
          <w:color w:val="000000"/>
          <w:sz w:val="36"/>
          <w:szCs w:val="36"/>
        </w:rPr>
        <w:t xml:space="preserve">: </w:t>
      </w:r>
      <w:r w:rsidRPr="0042141E">
        <w:rPr>
          <w:rFonts w:ascii="Arial" w:hAnsi="Arial" w:cs="Arial"/>
          <w:i/>
          <w:iCs/>
          <w:color w:val="000000"/>
          <w:sz w:val="36"/>
          <w:szCs w:val="36"/>
        </w:rPr>
        <w:t>si annuncia ciò che si è udito, visto, toccato e gustato.</w:t>
      </w:r>
    </w:p>
    <w:p w14:paraId="071F5B8C" w14:textId="77777777" w:rsidR="0042141E" w:rsidRPr="0042141E" w:rsidRDefault="0042141E" w:rsidP="0042141E">
      <w:pPr>
        <w:rPr>
          <w:b/>
          <w:bCs/>
          <w:color w:val="006532"/>
          <w:sz w:val="20"/>
          <w:szCs w:val="20"/>
        </w:rPr>
      </w:pPr>
    </w:p>
    <w:p w14:paraId="0048EE50" w14:textId="77777777" w:rsidR="0042141E" w:rsidRPr="0042141E" w:rsidRDefault="0042141E" w:rsidP="0042141E">
      <w:pPr>
        <w:jc w:val="center"/>
        <w:rPr>
          <w:sz w:val="2"/>
          <w:szCs w:val="2"/>
        </w:rPr>
      </w:pPr>
    </w:p>
    <w:sectPr w:rsidR="0042141E" w:rsidRPr="004214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D2"/>
    <w:rsid w:val="004039BC"/>
    <w:rsid w:val="0042141E"/>
    <w:rsid w:val="008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DD79"/>
  <w15:chartTrackingRefBased/>
  <w15:docId w15:val="{B6AB61CA-BA11-4C03-B59E-54A8D642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D3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2025-07-05T18:30:00Z</dcterms:created>
  <dcterms:modified xsi:type="dcterms:W3CDTF">2025-07-06T16:52:00Z</dcterms:modified>
</cp:coreProperties>
</file>